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36"/>
          <w:b/>
          <w:sz w:val="36"/>
          <w:b/>
          <w:szCs w:val="36"/>
          <w:bCs/>
          <w:rFonts w:ascii="Cambria" w:hAnsi="Cambria" w:eastAsia="Times New Roman" w:cs="Times New Roman"/>
          <w:color w:val="365F91"/>
          <w:lang w:eastAsia="pl-PL"/>
        </w:rPr>
      </w:pPr>
      <w:r>
        <w:rPr>
          <w:rFonts w:eastAsia="Times New Roman" w:cs="Times New Roman" w:ascii="Cambria" w:hAnsi="Cambria"/>
          <w:b/>
          <w:bCs/>
          <w:color w:val="365F91"/>
          <w:sz w:val="36"/>
          <w:szCs w:val="36"/>
          <w:lang w:eastAsia="pl-PL"/>
        </w:rPr>
        <w:t>Ursynowski Festiwal Szachowy 2020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36"/>
          <w:sz w:val="36"/>
          <w:szCs w:val="36"/>
        </w:rPr>
      </w:pPr>
      <w:r>
        <w:rPr>
          <w:rFonts w:eastAsia="Times New Roman" w:cs="Times New Roman" w:ascii="Cambria" w:hAnsi="Cambria"/>
          <w:b/>
          <w:bCs/>
          <w:color w:val="365F91"/>
          <w:sz w:val="36"/>
          <w:szCs w:val="36"/>
          <w:lang w:eastAsia="pl-PL"/>
        </w:rPr>
        <w:t xml:space="preserve">Turniej RAPID FIDE 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1. Organizatorzy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20"/>
          <w:b/>
          <w:sz w:val="20"/>
          <w:b/>
          <w:szCs w:val="20"/>
          <w:bCs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Klub Szachowy Zugzwang Warszawa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0" w:after="62"/>
        <w:jc w:val="center"/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Sędzia główny – Stefan Wronicz – sędzia klasy państwowej PZSzac</w:t>
      </w: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h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62"/>
        <w:jc w:val="center"/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S</w:t>
      </w: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ędzia rundowy – Karolina Karleszko – sędzia III klasy PZSzach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sz w:val="20"/>
          <w:szCs w:val="20"/>
          <w:lang w:eastAsia="pl-PL"/>
        </w:rPr>
        <w:t>2. Cel zawodów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272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- dobra zabawa i możliwość aktywnego spędzenia czasu wolnego</w:t>
      </w:r>
      <w:r>
        <w:rPr>
          <w:sz w:val="20"/>
          <w:szCs w:val="20"/>
        </w:rPr>
        <w:t>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272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- turniej zgłoszony do FIDE - możliwość uzyskania/podwyższenia rankingu Rapidowego FIDE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272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3. Termin i miejsce zawodów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sz w:val="20"/>
          <w:szCs w:val="20"/>
          <w:u w:val="single"/>
          <w:lang w:eastAsia="pl-PL"/>
        </w:rPr>
        <w:t>Miejsce - ul. NOWOURSYNOWSKA 139 U – wejście od ulicy Rosoła – ZSO im. J. Nowaka-Jeziorańskiego – V piętro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Termin – 08.02.2020 r. (sobota)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4. System rozgrywek i tempo gry: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- System szwajcarski na dystansie 9 rund, partie zaczynają się bezpośrednio po zakończeniu ostatniej gry z poprzedniej rundy.</w:t>
        <w:br/>
        <w:t> </w:t>
        <w:tab/>
        <w:t>- Tempo 15 minut na partię dla każdego zawodnika + 5 sekundowy bonus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- Dopuszczalne spóźnienie na rundę wynosi 10 minut.</w:t>
      </w:r>
      <w:r/>
    </w:p>
    <w:p>
      <w:pPr>
        <w:pStyle w:val="Normal"/>
        <w:shd w:val="clear" w:color="auto" w:themeColor="" w:themeTint="" w:themeShade="" w:fill="FFFFFF" w:themeFill="" w:themeFillTint="" w:themeFillShade=""/>
        <w:tabs>
          <w:tab w:val="left" w:pos="5610" w:leader="none"/>
        </w:tabs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Calibri" w:hAnsi="Calibri" w:eastAsia="SimSun" w:cs="F"/>
        </w:rPr>
      </w:pPr>
      <w:r>
        <w:rPr>
          <w:sz w:val="20"/>
          <w:szCs w:val="2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t>5. Harmonogram szczegółowy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t>(sobota - 9 rund)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u w:val="single"/>
          <w:lang w:eastAsia="pl-PL"/>
        </w:rPr>
        <w:t>08.02.2020 (sobota)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9:00 - 9:40 - biuro zawodów, potwierdzanie zgłoszeń, wpłaty wpisowego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9:45 - otwarcie festiwalu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I runda – 10:00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lang w:val="en-US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II runda - 10:45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lang w:val="en-US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III runda - 11:30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lang w:val="en-US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IV runda - 12:15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V runda - 13:00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PRZEWA OBIADOWA - 13:45-15:00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VI runda - 15:00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VII runda - 15:45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VIII runda - 16:30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IX runda - 17:15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Po zakończeniu ostatniej rundy nastąpi zakończenie festiwalu.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rFonts w:ascii="Calibri" w:hAnsi="Calibri" w:eastAsia="SimSun" w:cs="F"/>
        </w:rPr>
      </w:pPr>
      <w:r>
        <w:rPr/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t>6. Warunki uczestnictwa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- Turniej OPEN dla wszystkich chętnych zawodników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 xml:space="preserve">- opłacenie wpisowego w wysokości 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25 zł.</w:t>
      </w: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 xml:space="preserve"> płatne na sali gry w godzinach pracy biura zawodów</w:t>
        <w:br/>
        <w:t>- Zawodnicy posiadający tytuł GM, IM, WGM, WIM są zwolnieni z opłaty wpisowego</w:t>
        <w:br/>
        <w:t xml:space="preserve">- Zawodnicy posiadający tytuł FM, WFM płacą wpisowe w wysokości   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15 zł.</w:t>
      </w: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br/>
        <w:t xml:space="preserve">- Członkowie Klubu Szachowego Zugzwang Warszawa płacą wpisowe w wysokości 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15 zł.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Calibri" w:hAnsi="Calibri" w:eastAsia="SimSun" w:cs="F"/>
        </w:rPr>
      </w:pPr>
      <w:r>
        <w:rPr>
          <w:sz w:val="20"/>
          <w:szCs w:val="2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color w:val="222222"/>
          <w:sz w:val="20"/>
          <w:szCs w:val="20"/>
          <w:lang w:eastAsia="pl-PL"/>
        </w:rPr>
        <w:t>7. Zapisy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- formularz w serwisie turniejowym CHESSARBITER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 xml:space="preserve">- telefonicznie -Patryk Zbijowski - </w:t>
      </w: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512-463–945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bCs/>
          <w:rFonts w:ascii="Bookman Old Style" w:hAnsi="Bookman Old Style" w:eastAsia="Times New Roman" w:cs="Times New Roman"/>
          <w:color w:val="000000"/>
          <w:lang w:eastAsia="pl-PL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- zapisy do 07.02.2020, zapisy w dniu turnieju  możliwe w przypadku wolnych miejsc  (wpisowe w tym przypadku rośnie o 10 zł)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Calibri" w:hAnsi="Calibri" w:eastAsia="SimSun" w:cs="F"/>
        </w:rPr>
      </w:pPr>
      <w:r>
        <w:rPr>
          <w:sz w:val="20"/>
          <w:szCs w:val="2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</w:rPr>
      </w:pPr>
      <w:r>
        <w:rPr>
          <w:rFonts w:eastAsia="Times New Roman" w:cs="Times New Roman" w:ascii="Bookman Old Style" w:hAnsi="Bookman Old Style"/>
          <w:b/>
          <w:color w:val="000000"/>
          <w:sz w:val="20"/>
          <w:szCs w:val="20"/>
          <w:lang w:eastAsia="pl-PL"/>
        </w:rPr>
        <w:t xml:space="preserve">8. Nagrody i wyróżnienia (gwarantowane przy udziale </w:t>
      </w:r>
      <w:r>
        <w:rPr>
          <w:rFonts w:eastAsia="Times New Roman" w:cs="Times New Roman" w:ascii="Bookman Old Style" w:hAnsi="Bookman Old Style"/>
          <w:b/>
          <w:color w:val="000000"/>
          <w:sz w:val="20"/>
          <w:szCs w:val="20"/>
          <w:u w:val="single"/>
          <w:lang w:eastAsia="pl-PL"/>
        </w:rPr>
        <w:t>minimum 30 osób)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 miejsce - 300 zł + Puchar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II miejsce - 200 zł + Puchar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III miejsce - 100 zł + Puchar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 miejsce w kategorii kobiet - 100 zł</w:t>
        <w:br/>
        <w:br/>
        <w:t xml:space="preserve">          N</w:t>
      </w:r>
      <w:bookmarkStart w:id="0" w:name="_GoBack"/>
      <w:bookmarkEnd w:id="0"/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AGRODY NIE SĄ ŁĄCZONE.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365F91"/>
          <w:sz w:val="20"/>
          <w:szCs w:val="20"/>
          <w:lang w:eastAsia="pl-PL"/>
        </w:rPr>
        <w:t>O kolejności miejsc decydować będzie: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Suma punktów cząstkowych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Średni Buchholz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Buchholz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Liczba zwycięstw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Progress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/>
        <w:jc w:val="center"/>
        <w:rPr>
          <w:sz w:val="20"/>
          <w:b/>
          <w:sz w:val="20"/>
          <w:b/>
          <w:szCs w:val="20"/>
          <w:bCs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br/>
        <w:t>9.Informacje uzupełniające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/>
        <w:ind w:firstLine="708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Dla uczestników turnieju dostępny będzie aneks kuchenny, chłodne i gorące napoje. Czynny będzie również sklepik szkolny.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/>
        <w:ind w:firstLine="708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Między rundami opiekę nad niepełnoletnimi zawodnikami sprawują ich opiekunowie (rodzice).</w:t>
        <w:br/>
        <w:t> Udział w turnieju wiąże się z akceptacją regulaminu festiwalu i akceptacją na wykorzystanie materiałów zdjęciowych stworzonych w trakcie turnieju do promocji wydarzenia.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W zawodach obowiązują aktualne przepisy FIDE.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Ostateczna interpretacja regulaminu należy do organizatora i sędziego głównego zawodów.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Informacji udziela Patryk Zbijowski, tel. 512- 463 – 945.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Arial"/>
          <w:color w:val="222222"/>
          <w:lang w:eastAsia="pl-PL"/>
        </w:rPr>
      </w:pPr>
      <w:r>
        <w:rPr>
          <w:rFonts w:eastAsia="Times New Roman" w:cs="Arial" w:ascii="Bookman Old Style" w:hAnsi="Bookman Old Style"/>
          <w:b/>
          <w:color w:val="222222"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rFonts w:ascii="Bookman Old Style" w:hAnsi="Bookman Old Style" w:eastAsia="Times New Roman" w:cs="Arial"/>
          <w:color w:val="222222"/>
          <w:lang w:eastAsia="pl-PL"/>
        </w:rPr>
      </w:pPr>
      <w:r>
        <w:rPr>
          <w:rFonts w:eastAsia="Times New Roman" w:cs="Arial" w:ascii="Bookman Old Style" w:hAnsi="Bookman Old Style"/>
          <w:color w:val="222222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jc w:val="center"/>
        <w:rPr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lang w:eastAsia="pl-PL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9c52f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98B66-E145-40C1-BE61-427354D9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LibreOffice/4.3.5.2$Windows_x86 LibreOffice_project/3a87456aaa6a95c63eea1c1b3201acedf0751bd5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2020-01-14T19:47:00Z</dcterms:created>
  <dc:creator>admin</dc:creator>
  <dc:language>pl-PL</dc:language>
  <dcterms:modified xsi:type="dcterms:W3CDTF">2020-02-10T18:16:18Z</dcterms:modified>
  <cp:revision>5</cp:revision>
</cp:coreProperties>
</file>