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1.Miejsce gry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Kołobrzeg ul. Śliwińskiego 10/ Stadion- sala prasowa, start 10.00 25.01.2026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2.Czas i tempo gry: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 minuty plus dwie sekundy za każdy wykonany ruch, na zawodnika. Dzewięć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rund. Stosowanie przepisów gry FIDE. Organizator zastrzega sobie prawo do zmiany ilości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rund w zależności od ilości zawodników.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3.Warunki uczestnictwa: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Zgłoszenie się przez stronę www.chessarbiter.com, mailowo brtofil@mgial.com, bądź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telefonicznie 572286336. Zgłoszenie powinno zawierać imię nazwisko, rok urodzenia i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ewentualnie reprezentowany klub oraz posiadany ranking szachowy.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Opłacenie wpisowego: Dorośli minimum 20 zł do Puszki WOŚP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Dzieci wpłacenie dowolnej kwoty do Puszki WOŚP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4.Nagrody i wyróżnienia: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Puchar za pierwsze miejsce oraz uścisk dłoni Prezesa Gminnego Klubu Szachowego Solny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Grzybowo.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Postanowienia końcowe: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Ostateczna interpretacja regulaminu należy do Organizatora. Celem nadrzędnym turnieju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jest wsparcie Wielkiej Orkiestry Świątecznej Pomocy, oraz dobra zabawa i integracja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środowiska szachowego.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